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222" w:lineRule="auto"/>
        <w:ind w:left="224" w:leftChars="0" w:hanging="4" w:firstLineChars="0"/>
        <w:jc w:val="center"/>
        <w:outlineLvl w:val="9"/>
        <w:rPr>
          <w:rFonts w:ascii="宋体" w:hAnsi="宋体" w:eastAsia="宋体" w:cs="宋体"/>
          <w:spacing w:val="0"/>
          <w:position w:val="0"/>
          <w:sz w:val="32"/>
          <w:szCs w:val="32"/>
        </w:rPr>
      </w:pPr>
      <w:r>
        <w:rPr>
          <w:rFonts w:hint="eastAsia" w:ascii="宋体" w:hAnsi="宋体" w:eastAsia="宋体" w:cs="宋体"/>
          <w:spacing w:val="0"/>
          <w:position w:val="0"/>
          <w:sz w:val="32"/>
          <w:szCs w:val="32"/>
          <w:lang w:eastAsia="zh-CN"/>
          <w14:textOutline w14:w="7813" w14:cap="sq" w14:cmpd="sng">
            <w14:solidFill>
              <w14:srgbClr w14:val="000000"/>
            </w14:solidFill>
            <w14:prstDash w14:val="solid"/>
            <w14:bevel/>
          </w14:textOutline>
        </w:rPr>
        <w:t>泰安市泰山古建艺术博物馆</w:t>
      </w:r>
      <w:r>
        <w:rPr>
          <w:rFonts w:ascii="宋体" w:hAnsi="宋体" w:eastAsia="宋体" w:cs="宋体"/>
          <w:spacing w:val="0"/>
          <w:position w:val="0"/>
          <w:sz w:val="32"/>
          <w:szCs w:val="3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="宋体" w:hAnsi="宋体" w:eastAsia="宋体" w:cs="宋体"/>
          <w:spacing w:val="0"/>
          <w:position w:val="0"/>
          <w:sz w:val="32"/>
          <w:szCs w:val="3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22</w:t>
      </w:r>
      <w:r>
        <w:rPr>
          <w:rFonts w:ascii="宋体" w:hAnsi="宋体" w:eastAsia="宋体" w:cs="宋体"/>
          <w:spacing w:val="0"/>
          <w:position w:val="0"/>
          <w:sz w:val="32"/>
          <w:szCs w:val="3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年度工作报告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264" w:lineRule="auto"/>
        <w:outlineLvl w:val="9"/>
        <w:rPr>
          <w:rFonts w:ascii="Arial"/>
          <w:spacing w:val="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265" w:lineRule="auto"/>
        <w:outlineLvl w:val="9"/>
        <w:rPr>
          <w:rFonts w:ascii="Arial"/>
          <w:spacing w:val="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泰安市泰山古建艺术博物馆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理事会即本馆决策机构，自成立以来，严格遵循《博物馆理事会章程》开展议事、决策工作，凝心聚力，开拓进取，全面推进博物馆党群建设、陈列展览、文物普查、文物保护、学术研究、社会教育、安全保卫等核心要务工作，为博物馆的创新、跨越发展发挥了积极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一、20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年工作回顾</w:t>
      </w:r>
    </w:p>
    <w:p>
      <w:pPr>
        <w:keepNext w:val="0"/>
        <w:keepLines w:val="0"/>
        <w:pageBreakBefore w:val="0"/>
        <w:widowControl/>
        <w:tabs>
          <w:tab w:val="left" w:pos="2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0"/>
        <w:jc w:val="center"/>
        <w:textAlignment w:val="baseline"/>
        <w:outlineLvl w:val="9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drawing>
          <wp:inline distT="0" distB="0" distL="114300" distR="114300">
            <wp:extent cx="4931410" cy="3295650"/>
            <wp:effectExtent l="0" t="0" r="2540" b="0"/>
            <wp:docPr id="70" name="图片 70" descr="DSC022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DSC0228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141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2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80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(一)认真落实免费开放工作，打造服务品牌。进一步健全完善免费开放制度和措施，努力把免费开放工作做实、做细、做好。一是增设公共设施，设立便民服务。及时更新陈旧线路，更换公共卫生设施，在入口处设立标牌，标识参观线路、注明“参观须知”及安全警示牌。注意不断补充展览内容，注重青少年观众的兴趣需求，研究观众的心理和审美需求以更好地丰富展览陈列，吸引群众走进博物馆，享受“文化盛宴”。二是完善免费开放制度，落实人员措施。安排专人负责接待散客和团体预约工作，对于团体参观酌情安排时段，保证全馆能承受正常的接待能力，保证优良的参观环境及文物的安全。在馆内增加座椅，提供免费饮用开水和租借雨伞，为观众提供参观讲解服务。对于老年人、残疾人、体弱、行动不便的特殊参观人员提供特别的人性化服务，如增设轮椅、安排专人搀扶、引导参观等。三是对全馆工作人员进行了职业道德教育和业务技能培训，不断增强安全意识、服务意识和文明意识。要求全馆人员按照“贴近实际、贴近生活、贴近群众”的原则做好接待服务工作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</w:rPr>
        <w:t>,20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</w:rPr>
        <w:t>年共计接待观众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</w:rPr>
        <w:t>余万人次，得到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了社会各界的认同与好评。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9"/>
      </w:pPr>
      <w:r>
        <w:drawing>
          <wp:inline distT="0" distB="0" distL="114300" distR="114300">
            <wp:extent cx="5025390" cy="3654425"/>
            <wp:effectExtent l="0" t="0" r="3810" b="3175"/>
            <wp:docPr id="3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搞好宣传展示，社会效益进一步提高。一是宣教工作实现规范化、制度化管理，更好地对观众提供优质服务,受到了观众一致好评。二是主题宣传活动富有成效。围绕“文化遗产日”、“5.18国际博物馆日”、文化下乡等时机，采取散发宣传单、张贴悬挂宣传标语、图片展览、设立咨询台、举办专题文物知识讲座、利用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泰安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文化网和博物馆网站等形式开展宣传活动，大张旗鼓地宣传《文物保护法》、《山东省文物保护条例》。同时在日常工作中免费向社会提供文物咨询、鉴宝服务，扩大了博物馆影响力。三是积极举办专题展览。除向公众开放常规展览外，还积极举办了近10个专题性临时展览，受到社会各界好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928235" cy="3696335"/>
            <wp:effectExtent l="0" t="0" r="5715" b="18415"/>
            <wp:docPr id="130" name="图片 13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23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切实加强安全保卫工作，保证安全运行。馆内实行逐级安全责任制，健全了以安全岗位责任制为中心的各项安全管理制度，做到了人员到位、职责到位、督查到位、工作到位，建立了人防、物防、技防、畜防四位一体的安全防范体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加强安全防范队伍建设，平时严格执行安全管理各项规定，严格门卫人员出入登记和问询管理，执行节假日行政值班和夜间保卫人员值班制度，加强现场巡逻，定期进行安全检查，对博物馆的各项设施设备进行检查维修，及时排除安全隐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强化对全体员工的安全教育。通过组织学习《文物保护法》、《消防法》和《突发事件应对法》等相关法律法规，召开会议通报全国其它地方博物馆发生安全事故的案例，加强全员消防安全培训等方式，在全馆干部职工中广泛开展安全教育，增强安全意识和自我防范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二、202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年工作打算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年我们将在文旅局领导下，认真履行博物馆各项职责，以更加饱满的热情，鼓足干劲，真抓实干，再创新佳绩，再上新台阶，推动文博事业的发展繁荣。重点抓好以下几方面工作：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(一)继续推进社会教育活动与主题展览活动。除向公众开放常规展览，计划举办社会教育活动10余次，开展主题展览活动6次，进一步提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泰安市泰山古建艺术博物馆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社会服务能力与公共服务水平。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202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(二)积极做好三级博物馆申报工作。稳步开展收藏保管、科学研究、陈列展览、免费开放等基础性工作，扎实推进藏品征集、开发利用、配套服务、传播交流等创新性工作，做好申报国家三级博物馆评估准备工作，力争博物馆顺利晋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297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(三)树牢安全意识，抓好文物安全工作。进一步提高全馆职工的文物安全意识和安全防范技能。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230" w:lineRule="auto"/>
        <w:ind w:left="227"/>
        <w:outlineLvl w:val="0"/>
        <w:rPr>
          <w:rFonts w:ascii="黑体" w:hAnsi="黑体" w:eastAsia="黑体" w:cs="黑体"/>
          <w:spacing w:val="0"/>
          <w:position w:val="0"/>
          <w:sz w:val="31"/>
          <w:szCs w:val="31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3382645</wp:posOffset>
            </wp:positionH>
            <wp:positionV relativeFrom="paragraph">
              <wp:posOffset>20320</wp:posOffset>
            </wp:positionV>
            <wp:extent cx="1593850" cy="1548130"/>
            <wp:effectExtent l="0" t="0" r="6350" b="13970"/>
            <wp:wrapNone/>
            <wp:docPr id="2" name="图片 2" descr="博物馆备案章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博物馆备案章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9"/>
        <w:rPr>
          <w:rFonts w:ascii="Arial"/>
          <w:spacing w:val="0"/>
          <w:positio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9040"/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8" w:rightChars="0" w:firstLine="4480" w:firstLineChars="1600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泰安市泰山古建艺术博物馆</w:t>
      </w:r>
    </w:p>
    <w:p>
      <w:pPr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8" w:rightChars="0" w:firstLine="5320" w:firstLineChars="1900"/>
        <w:textAlignment w:val="baseline"/>
        <w:outlineLvl w:val="9"/>
        <w:rPr>
          <w:rFonts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ascii="仿宋" w:hAnsi="仿宋" w:eastAsia="仿宋" w:cs="仿宋"/>
          <w:spacing w:val="0"/>
          <w:position w:val="0"/>
          <w:sz w:val="28"/>
          <w:szCs w:val="28"/>
        </w:rPr>
        <w:t>20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22</w:t>
      </w:r>
      <w:r>
        <w:rPr>
          <w:rFonts w:ascii="仿宋" w:hAnsi="仿宋" w:eastAsia="仿宋" w:cs="仿宋"/>
          <w:spacing w:val="0"/>
          <w:position w:val="0"/>
          <w:sz w:val="28"/>
          <w:szCs w:val="28"/>
        </w:rPr>
        <w:t>年1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0"/>
          <w:position w:val="0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30</w:t>
      </w:r>
      <w:r>
        <w:rPr>
          <w:rFonts w:ascii="仿宋" w:hAnsi="仿宋" w:eastAsia="仿宋" w:cs="仿宋"/>
          <w:spacing w:val="0"/>
          <w:positio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230" w:lineRule="auto"/>
        <w:ind w:left="227"/>
        <w:outlineLvl w:val="0"/>
        <w:rPr>
          <w:rFonts w:ascii="黑体" w:hAnsi="黑体" w:eastAsia="黑体" w:cs="黑体"/>
          <w:spacing w:val="0"/>
          <w:position w:val="0"/>
          <w:sz w:val="31"/>
          <w:szCs w:val="31"/>
        </w:rPr>
        <w:sectPr>
          <w:footerReference r:id="rId3" w:type="default"/>
          <w:pgSz w:w="11910" w:h="16840"/>
          <w:pgMar w:top="1429" w:right="1474" w:bottom="1429" w:left="1474" w:header="0" w:footer="714" w:gutter="0"/>
          <w:pgNumType w:fmt="decimal"/>
          <w:cols w:space="0" w:num="1"/>
          <w:rtlGutter w:val="0"/>
          <w:docGrid w:linePitch="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87F4F"/>
    <w:multiLevelType w:val="singleLevel"/>
    <w:tmpl w:val="A0E87F4F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YTQwZDI0MDhiOGYzYjZmYWQ4MzI5Mzc0Y2JmZGYifQ=="/>
  </w:docVars>
  <w:rsids>
    <w:rsidRoot w:val="474E32B4"/>
    <w:rsid w:val="04E72A6A"/>
    <w:rsid w:val="0A2609C4"/>
    <w:rsid w:val="0ABC3686"/>
    <w:rsid w:val="0D1D2F7D"/>
    <w:rsid w:val="0EE16080"/>
    <w:rsid w:val="11C03E7E"/>
    <w:rsid w:val="12902F7F"/>
    <w:rsid w:val="132A5E2D"/>
    <w:rsid w:val="16FE3835"/>
    <w:rsid w:val="18AB748B"/>
    <w:rsid w:val="1B3C2055"/>
    <w:rsid w:val="1D1632EB"/>
    <w:rsid w:val="1DC55803"/>
    <w:rsid w:val="204344F9"/>
    <w:rsid w:val="23241110"/>
    <w:rsid w:val="23D1491D"/>
    <w:rsid w:val="24171B62"/>
    <w:rsid w:val="25942F7E"/>
    <w:rsid w:val="287529DC"/>
    <w:rsid w:val="29392EF6"/>
    <w:rsid w:val="2E0D11A5"/>
    <w:rsid w:val="329E15F8"/>
    <w:rsid w:val="35EE1151"/>
    <w:rsid w:val="3A06077E"/>
    <w:rsid w:val="3E9E4F04"/>
    <w:rsid w:val="3FB91C83"/>
    <w:rsid w:val="41536AEF"/>
    <w:rsid w:val="474E32B4"/>
    <w:rsid w:val="4B561791"/>
    <w:rsid w:val="4ED045C3"/>
    <w:rsid w:val="4F7B6472"/>
    <w:rsid w:val="50ED24EE"/>
    <w:rsid w:val="5268398E"/>
    <w:rsid w:val="54661867"/>
    <w:rsid w:val="57965342"/>
    <w:rsid w:val="58C272FD"/>
    <w:rsid w:val="5D2C3EA3"/>
    <w:rsid w:val="5E494F92"/>
    <w:rsid w:val="5FFC7412"/>
    <w:rsid w:val="607C391E"/>
    <w:rsid w:val="61141924"/>
    <w:rsid w:val="61313645"/>
    <w:rsid w:val="62447E9B"/>
    <w:rsid w:val="634E1921"/>
    <w:rsid w:val="63B04657"/>
    <w:rsid w:val="66E37F9A"/>
    <w:rsid w:val="680F6ED2"/>
    <w:rsid w:val="69075A5B"/>
    <w:rsid w:val="6D147393"/>
    <w:rsid w:val="6D67479E"/>
    <w:rsid w:val="6F7A5DB1"/>
    <w:rsid w:val="70773177"/>
    <w:rsid w:val="707A24E7"/>
    <w:rsid w:val="72693F59"/>
    <w:rsid w:val="72AC6ABA"/>
    <w:rsid w:val="73430FDB"/>
    <w:rsid w:val="746D182C"/>
    <w:rsid w:val="7726091C"/>
    <w:rsid w:val="77510BBB"/>
    <w:rsid w:val="79337C47"/>
    <w:rsid w:val="7A8916DB"/>
    <w:rsid w:val="7C086208"/>
    <w:rsid w:val="7D74506A"/>
    <w:rsid w:val="7DD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2024-02-25T09:01:00Z</dcterms:created>
  <dc:creator>周晴</dc:creator>
  <cp:lastModifiedBy>周晴</cp:lastModifiedBy>
  <dcterms:modified xsi:type="dcterms:W3CDTF">2024-02-25T09:02:06Z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0621254353124EB9A1D5F2F906FAC7A9_11</vt:lpwstr>
  </property>
</Properties>
</file>